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b/>
          <w:color w:val="1B3A6B"/>
          <w:sz w:val="32"/>
        </w:rPr>
        <w:t>PLANNING MARKET EVIDENCE NOTE</w:t>
      </w:r>
    </w:p>
    <w:p>
      <w:pPr>
        <w:spacing w:before="0" w:after="160"/>
        <w:jc w:val="left"/>
      </w:pPr>
      <w:r>
        <w:rPr>
          <w:b w:val="0"/>
          <w:i/>
          <w:color w:val="666666"/>
          <w:sz w:val="18"/>
        </w:rPr>
        <w:t>UK Property AI Analyst  |  uk-property-vip.entzai.com</w:t>
      </w:r>
    </w:p>
    <w:tbl>
      <w:tblPr>
        <w:tblStyle w:val="TableGrid"/>
        <w:tblW w:type="auto" w:w="0"/>
        <w:jc w:val="left"/>
        <w:tblLook w:firstColumn="1" w:firstRow="1" w:lastColumn="0" w:lastRow="0" w:noHBand="0" w:noVBand="1" w:val="04A0"/>
      </w:tblPr>
      <w:tblGrid>
        <w:gridCol w:w="4703"/>
        <w:gridCol w:w="4703"/>
      </w:tblGrid>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Area / Location:</w:t>
            </w:r>
          </w:p>
        </w:tc>
        <w:tc>
          <w:tcPr>
            <w:tcW w:type="dxa" w:w="5760"/>
            <w:tcBorders>
              <w:top w:val="single" w:sz="2" w:space="0" w:color="CCCCCC"/>
              <w:left w:val="single" w:sz="2" w:space="0" w:color="CCCCCC"/>
              <w:bottom w:val="single" w:sz="2" w:space="0" w:color="CCCCCC"/>
              <w:right w:val="single" w:sz="2" w:space="0" w:color="CCCCCC"/>
            </w:tcBorders>
          </w:tcPr>
          <w:p>
            <w:r>
              <w:rPr>
                <w:sz w:val="18"/>
              </w:rPr>
              <w:t>SW18</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Report generated:</w:t>
            </w:r>
          </w:p>
        </w:tc>
        <w:tc>
          <w:tcPr>
            <w:tcW w:type="dxa" w:w="5760"/>
            <w:tcBorders>
              <w:top w:val="single" w:sz="2" w:space="0" w:color="CCCCCC"/>
              <w:left w:val="single" w:sz="2" w:space="0" w:color="CCCCCC"/>
              <w:bottom w:val="single" w:sz="2" w:space="0" w:color="CCCCCC"/>
              <w:right w:val="single" w:sz="2" w:space="0" w:color="CCCCCC"/>
            </w:tcBorders>
          </w:tcPr>
          <w:p>
            <w:r>
              <w:rPr>
                <w:sz w:val="18"/>
              </w:rPr>
              <w:t>30 March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Data period covered:</w:t>
            </w:r>
          </w:p>
        </w:tc>
        <w:tc>
          <w:tcPr>
            <w:tcW w:type="dxa" w:w="5760"/>
            <w:tcBorders>
              <w:top w:val="single" w:sz="2" w:space="0" w:color="CCCCCC"/>
              <w:left w:val="single" w:sz="2" w:space="0" w:color="CCCCCC"/>
              <w:bottom w:val="single" w:sz="2" w:space="0" w:color="CCCCCC"/>
              <w:right w:val="single" w:sz="2" w:space="0" w:color="CCCCCC"/>
            </w:tcBorders>
          </w:tcPr>
          <w:p>
            <w:r>
              <w:rPr>
                <w:sz w:val="18"/>
              </w:rPr>
              <w:t>January 2010 – January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Analysis period:</w:t>
            </w:r>
          </w:p>
        </w:tc>
        <w:tc>
          <w:tcPr>
            <w:tcW w:type="dxa" w:w="5760"/>
            <w:tcBorders>
              <w:top w:val="single" w:sz="2" w:space="0" w:color="CCCCCC"/>
              <w:left w:val="single" w:sz="2" w:space="0" w:color="CCCCCC"/>
              <w:bottom w:val="single" w:sz="2" w:space="0" w:color="CCCCCC"/>
              <w:right w:val="single" w:sz="2" w:space="0" w:color="CCCCCC"/>
            </w:tcBorders>
          </w:tcPr>
          <w:p>
            <w:r>
              <w:rPr>
                <w:sz w:val="18"/>
              </w:rPr>
              <w:t>Feb 2025 – Jan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Data source:</w:t>
            </w:r>
          </w:p>
        </w:tc>
        <w:tc>
          <w:tcPr>
            <w:tcW w:type="dxa" w:w="5760"/>
            <w:tcBorders>
              <w:top w:val="single" w:sz="2" w:space="0" w:color="CCCCCC"/>
              <w:left w:val="single" w:sz="2" w:space="0" w:color="CCCCCC"/>
              <w:bottom w:val="single" w:sz="2" w:space="0" w:color="CCCCCC"/>
              <w:right w:val="single" w:sz="2" w:space="0" w:color="CCCCCC"/>
            </w:tcBorders>
          </w:tcPr>
          <w:p>
            <w:r>
              <w:rPr>
                <w:sz w:val="18"/>
              </w:rPr>
              <w:t>HM Land Registry Price Paid Data (Crown Copyright), OGL v3.0</w:t>
            </w:r>
          </w:p>
        </w:tc>
      </w:tr>
    </w:tbl>
    <w:p/>
    <w:p>
      <w:pPr>
        <w:spacing w:before="200" w:after="80"/>
        <w:jc w:val="left"/>
      </w:pPr>
      <w:r>
        <w:rPr>
          <w:b/>
          <w:color w:val="1B3A6B"/>
          <w:sz w:val="22"/>
        </w:rPr>
        <w:t>SECTION 1 — SALE PRICES BY PROPERTY TYPE</w:t>
      </w:r>
    </w:p>
    <w:p>
      <w:pPr>
        <w:spacing w:before="0" w:after="80"/>
        <w:jc w:val="left"/>
      </w:pPr>
      <w:r>
        <w:rPr>
          <w:b w:val="0"/>
          <w:i/>
          <w:color w:val="666666"/>
          <w:sz w:val="16"/>
        </w:rPr>
        <w:t>Period: Feb 2025 – Jan 2026  |  Lower quartile is the PPG §021 entry-level benchmark (25th percentile).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Property Type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Lower Quartile (LQ)</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Flat</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£420,000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£520,000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601</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Terraced</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£874,000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£1,268,036</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261</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Semi-detached</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£1,198,500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£1,512,500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34</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Detached (low vol.)</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£2,087,500 *</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£2,780,000 *</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8</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All types</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£460,000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£625,000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933</w:t>
            </w:r>
          </w:p>
        </w:tc>
      </w:tr>
    </w:tbl>
    <w:p>
      <w:pPr>
        <w:spacing w:before="80" w:after="40"/>
        <w:jc w:val="left"/>
      </w:pPr>
      <w:r>
        <w:rPr>
          <w:b w:val="0"/>
          <w:i/>
          <w:color w:val="888888"/>
          <w:sz w:val="16"/>
        </w:rPr>
        <w:t>Note: LQ = Lower Quartile (25th percentile). PPG §021 mandates LQ as the entry-level price benchmark for Housing Needs Assessments. Median shown for supplementary market context. * Low volume (&lt;30 transactions) — treat as indicative only; percentiles unreliable at this sample size.</w:t>
      </w:r>
    </w:p>
    <w:p>
      <w:pPr>
        <w:spacing w:before="0" w:after="40"/>
        <w:jc w:val="left"/>
      </w:pPr>
      <w:r>
        <w:rPr>
          <w:b w:val="0"/>
          <w:i/>
          <w:color w:val="444444"/>
          <w:sz w:val="16"/>
        </w:rPr>
        <w:t>Reliable property types only (≥30 transactions): Flat — LQ £420,000, Median £520,000  |  Terraced — LQ £874,000, Median £1,268,036  |  Semi-detached — LQ £1,198,500, Median £1,512,500  |  All types — LQ £460,000, Median £625,000</w:t>
      </w:r>
    </w:p>
    <w:p>
      <w:pPr>
        <w:spacing w:before="80" w:after="160"/>
        <w:jc w:val="left"/>
      </w:pPr>
      <w:r>
        <w:rPr>
          <w:b w:val="0"/>
          <w:i w:val="0"/>
          <w:sz w:val="18"/>
        </w:rPr>
        <w:t>The lower quartile price of £460,000 represents the entry-level benchmark for SW18 per PPG §021. The interquartile range (IQR) of £500,000 indicates the spread of the mid-market segment.</w:t>
      </w:r>
    </w:p>
    <w:p>
      <w:pPr>
        <w:spacing w:before="40" w:after="40"/>
        <w:pBdr>
          <w:bottom w:val="single" w:sz="4" w:space="1" w:color="CCCCCC"/>
        </w:pBdr>
      </w:pPr>
    </w:p>
    <w:p>
      <w:pPr>
        <w:spacing w:before="200" w:after="80"/>
        <w:jc w:val="left"/>
      </w:pPr>
      <w:r>
        <w:rPr>
          <w:b/>
          <w:color w:val="1B3A6B"/>
          <w:sz w:val="22"/>
        </w:rPr>
        <w:t>SECTION 2 — PRICE GROWTH TREND</w:t>
      </w:r>
    </w:p>
    <w:p>
      <w:pPr>
        <w:spacing w:before="0" w:after="80"/>
        <w:jc w:val="left"/>
      </w:pPr>
      <w:r>
        <w:rPr>
          <w:b w:val="0"/>
          <w:i/>
          <w:color w:val="666666"/>
          <w:sz w:val="16"/>
        </w:rPr>
        <w:t>Period % change is the primary metric. CAGR is a supplementary compound measure.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Period</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LQ price change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 price change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Basis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10-year (2015–2025)</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+3.2%</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+12.7%</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Period % change</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5-year (2020–2025)</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-4.4%</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Period % change</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Recovery (2023–2025)</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+0.9%</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-0.1%</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Recovery from 2023 correction</w:t>
            </w:r>
          </w:p>
        </w:tc>
      </w:tr>
    </w:tbl>
    <w:p>
      <w:pPr>
        <w:spacing w:before="80" w:after="40"/>
        <w:jc w:val="left"/>
      </w:pPr>
      <w:r>
        <w:rPr>
          <w:b w:val="0"/>
          <w:i w:val="0"/>
          <w:sz w:val="18"/>
        </w:rPr>
        <w:t>CAGR (supplementary):  LQ -0.9% p.a.  |  Median +0.0% p.a.</w:t>
      </w:r>
    </w:p>
    <w:p>
      <w:pPr>
        <w:spacing w:before="80" w:after="160"/>
        <w:jc w:val="left"/>
      </w:pPr>
      <w:r>
        <w:rPr>
          <w:b w:val="0"/>
          <w:i w:val="0"/>
          <w:sz w:val="18"/>
        </w:rPr>
        <w:t>Over the five-year period (2020–2025 (n=5 years)), lower quartile prices grew at a compound annual rate of -0.9% and median prices at +0.0%. A market correction was observed in 2023 (2022→2023: -2.3% (rate environment correction)). These trends are relevant to benchmarking future values in viability appraisals.</w:t>
      </w:r>
    </w:p>
    <w:p>
      <w:pPr>
        <w:spacing w:before="40" w:after="40"/>
        <w:pBdr>
          <w:bottom w:val="single" w:sz="4" w:space="1" w:color="CCCCCC"/>
        </w:pBdr>
      </w:pPr>
    </w:p>
    <w:p>
      <w:pPr>
        <w:spacing w:before="200" w:after="80"/>
        <w:jc w:val="left"/>
      </w:pPr>
      <w:r>
        <w:rPr>
          <w:b/>
          <w:color w:val="1B3A6B"/>
          <w:sz w:val="22"/>
        </w:rPr>
        <w:t>SECTION 3 — NEW-BUILD VS RESALE DIFFERENTIAL</w:t>
      </w:r>
    </w:p>
    <w:p>
      <w:pPr>
        <w:spacing w:before="0" w:after="80"/>
        <w:jc w:val="left"/>
      </w:pPr>
      <w:r>
        <w:rPr>
          <w:b w:val="0"/>
          <w:i/>
          <w:color w:val="666666"/>
          <w:sz w:val="16"/>
        </w:rPr>
        <w:t>Period: Feb 2025 – Jan 2026</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Lower Quartile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New Build</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£740,000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£785,000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9</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Resale</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£458,750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£620,000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924</w:t>
            </w:r>
          </w:p>
        </w:tc>
      </w:tr>
    </w:tbl>
    <w:p>
      <w:pPr>
        <w:spacing w:before="80" w:after="40"/>
        <w:jc w:val="left"/>
      </w:pPr>
      <w:r>
        <w:rPr>
          <w:b w:val="0"/>
          <w:i w:val="0"/>
          <w:sz w:val="18"/>
        </w:rPr>
        <w:t>New-build premium:  LQ +61.3%  |  Median +26.6%</w:t>
      </w:r>
    </w:p>
    <w:p>
      <w:pPr>
        <w:spacing w:before="80" w:after="160"/>
        <w:jc w:val="left"/>
      </w:pPr>
      <w:r>
        <w:rPr>
          <w:b w:val="0"/>
          <w:i w:val="0"/>
          <w:sz w:val="18"/>
        </w:rPr>
        <w:t>New-build properties achieved a median premium of +26.6% over resale equivalents (£785,000 vs £620,000). This premium is relevant to the residual land value calculation in viability assessments.</w:t>
      </w:r>
    </w:p>
    <w:p>
      <w:pPr>
        <w:spacing w:before="40" w:after="40"/>
        <w:pBdr>
          <w:bottom w:val="single" w:sz="4" w:space="1" w:color="CCCCCC"/>
        </w:pBdr>
      </w:pPr>
    </w:p>
    <w:p>
      <w:pPr>
        <w:spacing w:before="200" w:after="80"/>
        <w:jc w:val="left"/>
      </w:pPr>
      <w:r>
        <w:rPr>
          <w:b/>
          <w:color w:val="1B3A6B"/>
          <w:sz w:val="22"/>
        </w:rPr>
        <w:t>SECTION 4 — TRANSACTION VOLUME TREND</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Year</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Year-on-year change</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2021</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1,869</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2022</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1,508</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-19.3%</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2023</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1,174</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-22.1%</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2024</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1,311</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+11.7%</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2025</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980</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-25.2%</w:t>
            </w:r>
          </w:p>
        </w:tc>
      </w:tr>
    </w:tbl>
    <w:p>
      <w:pPr>
        <w:spacing w:before="80" w:after="160"/>
        <w:jc w:val="left"/>
      </w:pPr>
      <w:r>
        <w:rPr>
          <w:b w:val="0"/>
          <w:i w:val="0"/>
          <w:sz w:val="18"/>
        </w:rPr>
        <w:t>The market recorded 980 transactions in 2025 (year-on-year change: -25.2%). Volume trends provide context for assessing market depth and the reliability of price statistics.</w:t>
      </w:r>
    </w:p>
    <w:p>
      <w:pPr>
        <w:spacing w:before="40" w:after="40"/>
        <w:pBdr>
          <w:bottom w:val="single" w:sz="4" w:space="1" w:color="CCCCCC"/>
        </w:pBdr>
      </w:pPr>
    </w:p>
    <w:p>
      <w:pPr>
        <w:spacing w:before="200" w:after="80"/>
        <w:jc w:val="left"/>
      </w:pPr>
      <w:r>
        <w:rPr>
          <w:b/>
          <w:color w:val="1B3A6B"/>
          <w:sz w:val="22"/>
        </w:rPr>
        <w:t>SECTION 5 — AFFORDABILITY CONTEXT</w:t>
      </w:r>
    </w:p>
    <w:p>
      <w:pPr>
        <w:spacing w:before="0" w:after="80"/>
        <w:jc w:val="left"/>
      </w:pPr>
      <w:r>
        <w:rPr>
          <w:b w:val="0"/>
          <w:i/>
          <w:color w:val="666666"/>
          <w:sz w:val="16"/>
        </w:rPr>
        <w:t>Price band distribution for Feb 2025 – Jan 2026.</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Price band</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 of total</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Under 250k</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28</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2.9%</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250k-500k</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276</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28.2%</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500k-1M</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432</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44.1%</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Over 1M</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244</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24.9%</w:t>
            </w:r>
          </w:p>
        </w:tc>
      </w:tr>
    </w:tbl>
    <w:p>
      <w:pPr>
        <w:spacing w:before="80" w:after="160"/>
        <w:jc w:val="left"/>
      </w:pPr>
      <w:r>
        <w:rPr>
          <w:b w:val="0"/>
          <w:i w:val="0"/>
          <w:sz w:val="18"/>
        </w:rPr>
        <w:t>2.9% of transactions were below £250,000, representing the most accessible market segment. This distribution informs the assessment of affordable housing need and threshold testing. The ONS (2025) affordability ratio for this borough is 14.7x (median) and 14.5x (lower quartile) — the PPG §019 standard benchmarks used in Local Plan evidence bases.</w:t>
      </w:r>
    </w:p>
    <w:p>
      <w:pPr>
        <w:spacing w:before="160" w:after="40"/>
        <w:jc w:val="left"/>
      </w:pPr>
      <w:r>
        <w:rPr>
          <w:b/>
          <w:i w:val="0"/>
          <w:color w:val="1B3A6B"/>
          <w:sz w:val="20"/>
        </w:rPr>
        <w:t>PPG-Standard Affordability Ratio — ONS (2025)</w:t>
      </w:r>
    </w:p>
    <w:p>
      <w:pPr>
        <w:spacing w:before="0" w:after="80"/>
        <w:jc w:val="left"/>
      </w:pPr>
      <w:r>
        <w:rPr>
          <w:b w:val="0"/>
          <w:i/>
          <w:color w:val="666666"/>
          <w:sz w:val="16"/>
        </w:rPr>
        <w:t>Source: ONS House Price to Workplace-Based Earnings Ratio, 2025. Area: Wandsworth. Crown Copyright.</w:t>
      </w:r>
    </w:p>
    <w:tbl>
      <w:tblPr>
        <w:tblStyle w:val="TableGrid"/>
        <w:tblW w:type="auto" w:w="0"/>
        <w:tblLook w:firstColumn="1" w:firstRow="1" w:lastColumn="0" w:lastRow="0" w:noHBand="0" w:noVBand="1" w:val="04A0"/>
      </w:tblPr>
      <w:tblGrid>
        <w:gridCol w:w="4703"/>
        <w:gridCol w:w="4703"/>
      </w:tblGrid>
      <w:tr>
        <w:tc>
          <w:tcPr>
            <w:tcW w:type="dxa" w:w="4703"/>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Measure</w:t>
            </w:r>
          </w:p>
        </w:tc>
        <w:tc>
          <w:tcPr>
            <w:tcW w:type="dxa" w:w="4703"/>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Ratio</w:t>
            </w:r>
          </w:p>
        </w:tc>
      </w:tr>
      <w:tr>
        <w:tc>
          <w:tcPr>
            <w:tcW w:type="dxa" w:w="4703"/>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Median house price ÷ median workplace earnings</w:t>
            </w:r>
          </w:p>
        </w:tc>
        <w:tc>
          <w:tcPr>
            <w:tcW w:type="dxa" w:w="4703"/>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14.7x</w:t>
            </w:r>
          </w:p>
        </w:tc>
      </w:tr>
      <w:tr>
        <w:tc>
          <w:tcPr>
            <w:tcW w:type="dxa" w:w="4703"/>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Lower quartile price ÷ lower quartile earnings</w:t>
            </w:r>
          </w:p>
        </w:tc>
        <w:tc>
          <w:tcPr>
            <w:tcW w:type="dxa" w:w="4703"/>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14.5x</w:t>
            </w:r>
          </w:p>
        </w:tc>
      </w:tr>
    </w:tbl>
    <w:p>
      <w:pPr>
        <w:spacing w:before="80" w:after="160"/>
        <w:jc w:val="left"/>
      </w:pPr>
      <w:r>
        <w:rPr>
          <w:b w:val="0"/>
          <w:i/>
          <w:color w:val="444444"/>
          <w:sz w:val="16"/>
        </w:rPr>
        <w:t>These are the official PPG §019 affordability ratios cited in Local Plan evidence bases and Housing Needs Assessments. The lower quartile ratio is the entry-level benchmark consistent with PPG §021.</w:t>
      </w:r>
    </w:p>
    <w:p>
      <w:pPr>
        <w:spacing w:before="40" w:after="40"/>
        <w:pBdr>
          <w:bottom w:val="single" w:sz="4" w:space="1" w:color="CCCCCC"/>
        </w:pBdr>
      </w:pPr>
    </w:p>
    <w:p>
      <w:pPr>
        <w:spacing w:before="160" w:after="80"/>
      </w:pPr>
      <w:r>
        <w:rPr>
          <w:b/>
          <w:color w:val="C0392B"/>
          <w:sz w:val="18"/>
        </w:rPr>
        <w:t>IMPORTANT DISCLAIMER — PLEASE READ BEFORE USING THIS NOTE</w:t>
      </w:r>
    </w:p>
    <w:p>
      <w:pPr>
        <w:spacing w:before="0" w:after="160"/>
      </w:pPr>
      <w:r>
        <w:rPr>
          <w:color w:val="444444"/>
          <w:sz w:val="16"/>
        </w:rPr>
        <w:t>This note provides market comparable evidence derived from HM Land Registry Price Paid Data (Crown Copyright, Open Government Licence v3.0). It is intended as supporting background context for Financial Viability Assessments, Housing Needs Assessments, and Local Plan evidence bases.</w:t>
        <w:br/>
        <w:br/>
        <w:t>This note does NOT constitute:</w:t>
        <w:br/>
        <w:t xml:space="preserve">  •  A Financial Viability Assessment (FVA) or Independent Viability Assessment (IVA)</w:t>
        <w:br/>
        <w:t xml:space="preserve">  •  A RICS Red Book or other formal valuation</w:t>
        <w:br/>
        <w:t xml:space="preserve">  •  An ONS standard method affordability assessment</w:t>
        <w:br/>
        <w:t xml:space="preserve">  •  A Housing Needs Assessment under the Planning Practice Guidance</w:t>
        <w:br/>
        <w:t xml:space="preserve">  •  Investment advice of any kind</w:t>
        <w:br/>
        <w:br/>
        <w:t>For planning applications requiring site-specific viability evidence, an IVA prepared by a RICS-qualified valuer is required under the RICS Professional Standard: Financial viability in planning: conduct and reporting (reissued April 2023).</w:t>
        <w:br/>
        <w:br/>
        <w:t>For PPG-standard affordability ratios, use the ONS House price to residence-based earnings ratio dataset. For Benchmark Land Value, a RICS-qualified valuer is required.</w:t>
        <w:br/>
        <w:br/>
        <w:t>The UK Property AI Analyst accepts no liability for decisions made on the basis of this note.</w:t>
      </w:r>
    </w:p>
    <w:p>
      <w:pPr>
        <w:spacing w:before="40" w:after="40"/>
        <w:pBdr>
          <w:bottom w:val="single" w:sz="4" w:space="1" w:color="CCCCCC"/>
        </w:pBdr>
      </w:pPr>
    </w:p>
    <w:p>
      <w:pPr>
        <w:spacing w:before="80" w:after="0"/>
        <w:jc w:val="left"/>
      </w:pPr>
      <w:r>
        <w:rPr>
          <w:b w:val="0"/>
          <w:i/>
          <w:color w:val="888888"/>
          <w:sz w:val="16"/>
        </w:rPr>
        <w:t>Generated using the UK Property AI Analyst (uk-property-vip.entzai.com).</w:t>
        <w:br/>
        <w:t>HM Land Registry Price Paid Data, Crown copyright and database right 2026, licensed under Open Government Licence v3.0.</w:t>
        <w:br/>
        <w:t>Report generated: 30 March 2026</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